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29" w:rsidRPr="00A77B29" w:rsidRDefault="00A77B29" w:rsidP="00A77B29">
      <w:pPr>
        <w:pStyle w:val="font8"/>
        <w:rPr>
          <w:sz w:val="40"/>
          <w:szCs w:val="45"/>
        </w:rPr>
      </w:pPr>
      <w:r w:rsidRPr="00A77B29">
        <w:rPr>
          <w:rStyle w:val="color20"/>
          <w:rFonts w:ascii="orig_century_gothic" w:hAnsi="orig_century_gothic"/>
          <w:b/>
          <w:bCs/>
          <w:sz w:val="40"/>
          <w:szCs w:val="45"/>
        </w:rPr>
        <w:t>Hypnosepraktijk Barendrecht</w:t>
      </w:r>
    </w:p>
    <w:p w:rsidR="00A77B29" w:rsidRPr="00A77B29" w:rsidRDefault="00A77B29" w:rsidP="00A77B29">
      <w:pPr>
        <w:pStyle w:val="font8"/>
        <w:rPr>
          <w:sz w:val="40"/>
          <w:szCs w:val="45"/>
        </w:rPr>
      </w:pPr>
      <w:r w:rsidRPr="00A77B29">
        <w:rPr>
          <w:rStyle w:val="color20"/>
          <w:rFonts w:ascii="orig_century_gothic" w:hAnsi="orig_century_gothic"/>
          <w:b/>
          <w:bCs/>
          <w:sz w:val="40"/>
          <w:szCs w:val="45"/>
        </w:rPr>
        <w:t>Algemene voorwaarden.</w:t>
      </w:r>
    </w:p>
    <w:p w:rsidR="00A77B29" w:rsidRPr="00A77B29" w:rsidRDefault="00A77B29" w:rsidP="00A77B29">
      <w:pPr>
        <w:pStyle w:val="font8"/>
        <w:rPr>
          <w:sz w:val="18"/>
          <w:szCs w:val="21"/>
        </w:rPr>
      </w:pPr>
      <w:r w:rsidRPr="00A77B29">
        <w:rPr>
          <w:rFonts w:ascii="orig_century_gothic" w:hAnsi="orig_century_gothic"/>
          <w:sz w:val="18"/>
          <w:szCs w:val="21"/>
        </w:rPr>
        <w:t> </w:t>
      </w:r>
    </w:p>
    <w:p w:rsidR="00A77B29" w:rsidRPr="00A77B29" w:rsidRDefault="00A77B29" w:rsidP="00A77B29">
      <w:pPr>
        <w:pStyle w:val="font8"/>
        <w:rPr>
          <w:sz w:val="22"/>
          <w:szCs w:val="26"/>
        </w:rPr>
      </w:pPr>
      <w:r w:rsidRPr="00A77B29">
        <w:rPr>
          <w:rFonts w:ascii="orig_century_gothic" w:hAnsi="orig_century_gothic"/>
          <w:sz w:val="22"/>
          <w:szCs w:val="26"/>
        </w:rPr>
        <w:t>BTW</w:t>
      </w:r>
    </w:p>
    <w:p w:rsidR="00A77B29" w:rsidRPr="00A77B29" w:rsidRDefault="00A77B29" w:rsidP="00A77B29">
      <w:pPr>
        <w:pStyle w:val="font8"/>
        <w:rPr>
          <w:sz w:val="22"/>
          <w:szCs w:val="26"/>
        </w:rPr>
      </w:pPr>
      <w:r w:rsidRPr="00A77B29">
        <w:rPr>
          <w:rFonts w:ascii="orig_century_gothic" w:hAnsi="orig_century_gothic"/>
          <w:sz w:val="22"/>
          <w:szCs w:val="26"/>
        </w:rPr>
        <w:t>IBAN</w:t>
      </w:r>
    </w:p>
    <w:p w:rsidR="00A77B29" w:rsidRPr="00A77B29" w:rsidRDefault="00A77B29" w:rsidP="00A77B29">
      <w:pPr>
        <w:pStyle w:val="font8"/>
        <w:rPr>
          <w:b/>
          <w:sz w:val="22"/>
          <w:szCs w:val="26"/>
        </w:rPr>
      </w:pPr>
      <w:r w:rsidRPr="00A77B29">
        <w:rPr>
          <w:rFonts w:ascii="orig_century_gothic" w:hAnsi="orig_century_gothic"/>
          <w:b/>
          <w:sz w:val="22"/>
          <w:szCs w:val="26"/>
        </w:rPr>
        <w:t>Toepasselijkheid</w:t>
      </w:r>
    </w:p>
    <w:p w:rsidR="00A77B29" w:rsidRPr="00A77B29" w:rsidRDefault="00A77B29" w:rsidP="00A77B29">
      <w:pPr>
        <w:pStyle w:val="font8"/>
        <w:rPr>
          <w:sz w:val="22"/>
          <w:szCs w:val="26"/>
        </w:rPr>
      </w:pPr>
      <w:r w:rsidRPr="00A77B29">
        <w:rPr>
          <w:rFonts w:ascii="orig_century_gothic" w:hAnsi="orig_century_gothic"/>
          <w:sz w:val="22"/>
          <w:szCs w:val="26"/>
        </w:rPr>
        <w:t>Op alle aanbiedingen, bestellingen en overeenkomsten zijn bij uitsluiting van eventuele andere algemene voorwaarden deze Algemene Voorwaarden (hierna: Voorwaarden) van toepassing.</w:t>
      </w:r>
    </w:p>
    <w:p w:rsidR="00A77B29" w:rsidRPr="00A77B29" w:rsidRDefault="00A77B29" w:rsidP="00A77B29">
      <w:pPr>
        <w:pStyle w:val="font8"/>
        <w:rPr>
          <w:b/>
          <w:sz w:val="22"/>
          <w:szCs w:val="26"/>
        </w:rPr>
      </w:pPr>
      <w:r w:rsidRPr="00A77B29">
        <w:rPr>
          <w:rFonts w:ascii="orig_century_gothic" w:hAnsi="orig_century_gothic"/>
          <w:b/>
          <w:sz w:val="22"/>
          <w:szCs w:val="26"/>
        </w:rPr>
        <w:t>Overeenkomsten</w:t>
      </w:r>
    </w:p>
    <w:p w:rsidR="00A77B29" w:rsidRPr="00A77B29" w:rsidRDefault="00A77B29" w:rsidP="00A77B29">
      <w:pPr>
        <w:pStyle w:val="font8"/>
        <w:rPr>
          <w:sz w:val="22"/>
          <w:szCs w:val="26"/>
        </w:rPr>
      </w:pPr>
      <w:r w:rsidRPr="00A77B29">
        <w:rPr>
          <w:rFonts w:ascii="orig_century_gothic" w:hAnsi="orig_century_gothic"/>
          <w:sz w:val="22"/>
          <w:szCs w:val="26"/>
        </w:rPr>
        <w:t>De cliënt/deelnemer is na het maken van een afspraak voor een sessie (behandeling) gerechtigd uiterlijk 24 uur van te voren deze afspraak te annuleren. Bij annulering binnen 24 uur voor de afspraak heeft Hypnosepraktijk Barendrecht het recht, ongeacht de reden van annulering, de volledige sessiekosten bij de klant in rekening te brengen.</w:t>
      </w:r>
    </w:p>
    <w:p w:rsidR="00A77B29" w:rsidRPr="00A77B29" w:rsidRDefault="00A77B29" w:rsidP="00A77B29">
      <w:pPr>
        <w:pStyle w:val="font8"/>
        <w:rPr>
          <w:sz w:val="22"/>
          <w:szCs w:val="26"/>
        </w:rPr>
      </w:pPr>
      <w:r w:rsidRPr="00A77B29">
        <w:rPr>
          <w:rFonts w:ascii="orig_century_gothic" w:hAnsi="orig_century_gothic"/>
          <w:sz w:val="22"/>
          <w:szCs w:val="26"/>
        </w:rPr>
        <w:t>Hypnosepraktijk Barendrecht zal de gegevens van de cliënt nooit voor andere doeleinden gebruiken of doorverkopen. De cliënt kan zich altijd gratis en eenvoudig afmelden door de aanwijzingen daarvoor op te volgen.</w:t>
      </w:r>
    </w:p>
    <w:p w:rsidR="00A77B29" w:rsidRPr="00A77B29" w:rsidRDefault="00A77B29" w:rsidP="00A77B29">
      <w:pPr>
        <w:pStyle w:val="font8"/>
        <w:rPr>
          <w:b/>
          <w:sz w:val="22"/>
          <w:szCs w:val="26"/>
        </w:rPr>
      </w:pPr>
      <w:r w:rsidRPr="00A77B29">
        <w:rPr>
          <w:rFonts w:ascii="orig_century_gothic" w:hAnsi="orig_century_gothic"/>
          <w:b/>
          <w:sz w:val="22"/>
          <w:szCs w:val="26"/>
        </w:rPr>
        <w:t>Prijzen en andere tarieven</w:t>
      </w:r>
    </w:p>
    <w:p w:rsidR="00A77B29" w:rsidRPr="00A77B29" w:rsidRDefault="00A77B29" w:rsidP="00A77B29">
      <w:pPr>
        <w:pStyle w:val="font8"/>
        <w:rPr>
          <w:sz w:val="22"/>
          <w:szCs w:val="26"/>
        </w:rPr>
      </w:pPr>
      <w:r w:rsidRPr="00A77B29">
        <w:rPr>
          <w:rFonts w:ascii="orig_century_gothic" w:hAnsi="orig_century_gothic"/>
          <w:sz w:val="22"/>
          <w:szCs w:val="26"/>
        </w:rPr>
        <w:t>Alle genoemde prijzen zijn in euro’s en inclusief BTW, tenzij anders vermeld. Hypnosepraktijk Barendrecht kan niet gehouden worden aan prijsvermeldingen die evident onjuist zijn, bijvoorbeeld als gevolg van kennelijke type-, zet- of drukfouten. Aan onjuiste prijsinformatie kunnen geen rechten worden ontleend.</w:t>
      </w:r>
    </w:p>
    <w:p w:rsidR="00A77B29" w:rsidRPr="00A77B29" w:rsidRDefault="00A77B29" w:rsidP="00A77B29">
      <w:pPr>
        <w:pStyle w:val="font8"/>
        <w:rPr>
          <w:b/>
          <w:sz w:val="22"/>
          <w:szCs w:val="26"/>
        </w:rPr>
      </w:pPr>
      <w:r w:rsidRPr="00A77B29">
        <w:rPr>
          <w:rFonts w:ascii="orig_century_gothic" w:hAnsi="orig_century_gothic"/>
          <w:b/>
          <w:sz w:val="22"/>
          <w:szCs w:val="26"/>
        </w:rPr>
        <w:t>Betalingen</w:t>
      </w:r>
    </w:p>
    <w:p w:rsidR="00A77B29" w:rsidRPr="00A77B29" w:rsidRDefault="00A77B29" w:rsidP="00A77B29">
      <w:pPr>
        <w:pStyle w:val="font8"/>
        <w:rPr>
          <w:sz w:val="22"/>
          <w:szCs w:val="26"/>
        </w:rPr>
      </w:pPr>
      <w:r w:rsidRPr="00A77B29">
        <w:rPr>
          <w:rFonts w:ascii="orig_century_gothic" w:hAnsi="orig_century_gothic"/>
          <w:sz w:val="22"/>
          <w:szCs w:val="26"/>
        </w:rPr>
        <w:t> </w:t>
      </w:r>
    </w:p>
    <w:p w:rsidR="00A77B29" w:rsidRPr="00A77B29" w:rsidRDefault="00A77B29" w:rsidP="00A77B29">
      <w:pPr>
        <w:pStyle w:val="font8"/>
        <w:rPr>
          <w:b/>
          <w:sz w:val="22"/>
          <w:szCs w:val="26"/>
        </w:rPr>
      </w:pPr>
      <w:r w:rsidRPr="00A77B29">
        <w:rPr>
          <w:rFonts w:ascii="orig_century_gothic" w:hAnsi="orig_century_gothic"/>
          <w:b/>
          <w:sz w:val="22"/>
          <w:szCs w:val="26"/>
        </w:rPr>
        <w:t>Aansprakelijkheid</w:t>
      </w:r>
    </w:p>
    <w:p w:rsidR="00A77B29" w:rsidRPr="00A77B29" w:rsidRDefault="00A77B29" w:rsidP="00A77B29">
      <w:pPr>
        <w:pStyle w:val="font8"/>
        <w:rPr>
          <w:sz w:val="22"/>
          <w:szCs w:val="26"/>
        </w:rPr>
      </w:pPr>
      <w:r w:rsidRPr="00A77B29">
        <w:rPr>
          <w:rFonts w:ascii="orig_century_gothic" w:hAnsi="orig_century_gothic"/>
          <w:sz w:val="22"/>
          <w:szCs w:val="26"/>
        </w:rPr>
        <w:t>Hypnosepraktijk Barendrecht is niet aansprakelijk voor de schade aan eigendommen van klant en derden en evenmin aansprakelijk voor overige schade, waaronder mede begrepen persoonlijke schade (lichamelijk), studie- of bedrijfsstagnatie. De klant vrijwaart Hypnosepraktijk Barendrecht tegen alle aanspraken van derden terzake.</w:t>
      </w:r>
    </w:p>
    <w:p w:rsidR="00A77B29" w:rsidRPr="00A77B29" w:rsidRDefault="00A77B29" w:rsidP="00A77B29">
      <w:pPr>
        <w:pStyle w:val="font8"/>
        <w:rPr>
          <w:sz w:val="22"/>
          <w:szCs w:val="26"/>
        </w:rPr>
      </w:pPr>
      <w:r w:rsidRPr="00A77B29">
        <w:rPr>
          <w:rFonts w:ascii="orig_century_gothic" w:hAnsi="orig_century_gothic"/>
          <w:sz w:val="22"/>
          <w:szCs w:val="26"/>
        </w:rPr>
        <w:t> </w:t>
      </w:r>
    </w:p>
    <w:p w:rsidR="00A77B29" w:rsidRDefault="00A77B29">
      <w:pPr>
        <w:rPr>
          <w:rFonts w:ascii="orig_century_gothic" w:eastAsia="Times New Roman" w:hAnsi="orig_century_gothic" w:cs="Times New Roman"/>
          <w:b/>
          <w:szCs w:val="26"/>
        </w:rPr>
      </w:pPr>
      <w:r>
        <w:rPr>
          <w:rFonts w:ascii="orig_century_gothic" w:hAnsi="orig_century_gothic"/>
          <w:b/>
          <w:szCs w:val="26"/>
        </w:rPr>
        <w:br w:type="page"/>
      </w:r>
    </w:p>
    <w:p w:rsidR="00A77B29" w:rsidRPr="00A77B29" w:rsidRDefault="00A77B29" w:rsidP="00A77B29">
      <w:pPr>
        <w:pStyle w:val="font8"/>
        <w:rPr>
          <w:b/>
          <w:sz w:val="22"/>
          <w:szCs w:val="26"/>
        </w:rPr>
      </w:pPr>
      <w:r w:rsidRPr="00A77B29">
        <w:rPr>
          <w:rFonts w:ascii="orig_century_gothic" w:hAnsi="orig_century_gothic"/>
          <w:b/>
          <w:sz w:val="22"/>
          <w:szCs w:val="26"/>
        </w:rPr>
        <w:lastRenderedPageBreak/>
        <w:t>Overmacht</w:t>
      </w:r>
    </w:p>
    <w:p w:rsidR="00A77B29" w:rsidRPr="00A77B29" w:rsidRDefault="00A77B29" w:rsidP="00A77B29">
      <w:pPr>
        <w:pStyle w:val="font8"/>
        <w:rPr>
          <w:sz w:val="22"/>
          <w:szCs w:val="26"/>
        </w:rPr>
      </w:pPr>
      <w:r w:rsidRPr="00A77B29">
        <w:rPr>
          <w:rFonts w:ascii="orig_century_gothic" w:hAnsi="orig_century_gothic"/>
          <w:sz w:val="22"/>
          <w:szCs w:val="26"/>
        </w:rPr>
        <w:t>Hypnosepraktijk Barendrecht heeft in geval van overmacht het recht om, naar eigen keuze, de uitvoering van de inschrijving/aanmelding van een klant op te schorten, dan wel de overeenkomst zonder rechterlijke tussenkomst te ontbinden, dit door schriftelijk aan de klant mee te delen en zonder dat Hypnosepraktijk Barendrecht gehouden is tot enige schadevergoeding, tenzij dit in de gegeven omstandigheden naar maatstaven van redelijkheid en billijkheid onaanvaardbaar zou zijn.</w:t>
      </w:r>
    </w:p>
    <w:p w:rsidR="00A77B29" w:rsidRPr="00A77B29" w:rsidRDefault="00A77B29" w:rsidP="00A77B29">
      <w:pPr>
        <w:pStyle w:val="font8"/>
        <w:rPr>
          <w:sz w:val="22"/>
          <w:szCs w:val="26"/>
        </w:rPr>
      </w:pPr>
      <w:r w:rsidRPr="00A77B29">
        <w:rPr>
          <w:rFonts w:ascii="orig_century_gothic" w:hAnsi="orig_century_gothic"/>
          <w:sz w:val="22"/>
          <w:szCs w:val="26"/>
        </w:rPr>
        <w:t> </w:t>
      </w:r>
    </w:p>
    <w:p w:rsidR="00A77B29" w:rsidRPr="00A77B29" w:rsidRDefault="00A77B29" w:rsidP="00A77B29">
      <w:pPr>
        <w:pStyle w:val="font8"/>
        <w:rPr>
          <w:b/>
          <w:sz w:val="22"/>
          <w:szCs w:val="26"/>
        </w:rPr>
      </w:pPr>
      <w:bookmarkStart w:id="0" w:name="_GoBack"/>
      <w:r w:rsidRPr="00A77B29">
        <w:rPr>
          <w:rFonts w:ascii="orig_century_gothic" w:hAnsi="orig_century_gothic"/>
          <w:b/>
          <w:sz w:val="22"/>
          <w:szCs w:val="26"/>
        </w:rPr>
        <w:t>Toepasselijk recht en bevoegde rechter</w:t>
      </w:r>
    </w:p>
    <w:bookmarkEnd w:id="0"/>
    <w:p w:rsidR="00A77B29" w:rsidRPr="00A77B29" w:rsidRDefault="00A77B29" w:rsidP="00A77B29">
      <w:pPr>
        <w:pStyle w:val="font8"/>
        <w:rPr>
          <w:sz w:val="22"/>
          <w:szCs w:val="26"/>
        </w:rPr>
      </w:pPr>
      <w:r w:rsidRPr="00A77B29">
        <w:rPr>
          <w:rFonts w:ascii="orig_century_gothic" w:hAnsi="orig_century_gothic"/>
          <w:sz w:val="22"/>
          <w:szCs w:val="26"/>
        </w:rPr>
        <w:t>Op alle rechten, verplichtingen, aanbiedingen, bestellingen en overeenkomsten waarop deze Voorwaarden van toepassing zijn, alsmede op deze Voorwaarden, is uitsluitend Nederlands recht van toepassing.</w:t>
      </w:r>
    </w:p>
    <w:p w:rsidR="00A77B29" w:rsidRPr="00A77B29" w:rsidRDefault="00A77B29" w:rsidP="00A77B29">
      <w:pPr>
        <w:pStyle w:val="font8"/>
        <w:rPr>
          <w:sz w:val="22"/>
          <w:szCs w:val="26"/>
        </w:rPr>
      </w:pPr>
      <w:r w:rsidRPr="00A77B29">
        <w:rPr>
          <w:rFonts w:ascii="orig_century_gothic" w:hAnsi="orig_century_gothic"/>
          <w:sz w:val="22"/>
          <w:szCs w:val="26"/>
        </w:rPr>
        <w:t>Alle geschillen tussen partijen zullen bij uitsluiting worden voorgelegd aan de daartoe bevoegde rechter in Nederland.</w:t>
      </w:r>
    </w:p>
    <w:p w:rsidR="00303534" w:rsidRPr="00A77B29" w:rsidRDefault="00303534">
      <w:pPr>
        <w:rPr>
          <w:sz w:val="20"/>
        </w:rPr>
      </w:pPr>
    </w:p>
    <w:sectPr w:rsidR="00303534" w:rsidRPr="00A77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orig_century_goth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29"/>
    <w:rsid w:val="0000203C"/>
    <w:rsid w:val="00043770"/>
    <w:rsid w:val="001476E6"/>
    <w:rsid w:val="001A4EF7"/>
    <w:rsid w:val="00211420"/>
    <w:rsid w:val="00303534"/>
    <w:rsid w:val="00323626"/>
    <w:rsid w:val="003700BE"/>
    <w:rsid w:val="0039734D"/>
    <w:rsid w:val="00457226"/>
    <w:rsid w:val="005B4BA0"/>
    <w:rsid w:val="00671227"/>
    <w:rsid w:val="006913A2"/>
    <w:rsid w:val="006B1A1F"/>
    <w:rsid w:val="006C3A0D"/>
    <w:rsid w:val="006F7BD6"/>
    <w:rsid w:val="008C7D93"/>
    <w:rsid w:val="008E077C"/>
    <w:rsid w:val="008E6254"/>
    <w:rsid w:val="00996EB0"/>
    <w:rsid w:val="00A0295A"/>
    <w:rsid w:val="00A77B29"/>
    <w:rsid w:val="00B72532"/>
    <w:rsid w:val="00BC69AF"/>
    <w:rsid w:val="00C53AB9"/>
    <w:rsid w:val="00CA6048"/>
    <w:rsid w:val="00CC6874"/>
    <w:rsid w:val="00CD176B"/>
    <w:rsid w:val="00D45D8B"/>
    <w:rsid w:val="00DB0C16"/>
    <w:rsid w:val="00DF5322"/>
    <w:rsid w:val="00E74DC4"/>
    <w:rsid w:val="00E95968"/>
    <w:rsid w:val="00F36A0B"/>
    <w:rsid w:val="00FA4A36"/>
    <w:rsid w:val="00FC4DE8"/>
    <w:rsid w:val="00FE2602"/>
    <w:rsid w:val="00FF70A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A77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0">
    <w:name w:val="color_20"/>
    <w:basedOn w:val="DefaultParagraphFont"/>
    <w:rsid w:val="00A77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A77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0">
    <w:name w:val="color_20"/>
    <w:basedOn w:val="DefaultParagraphFont"/>
    <w:rsid w:val="00A7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2008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Nijssen</dc:creator>
  <cp:lastModifiedBy>Tim Nijssen</cp:lastModifiedBy>
  <cp:revision>1</cp:revision>
  <dcterms:created xsi:type="dcterms:W3CDTF">2017-04-18T17:52:00Z</dcterms:created>
  <dcterms:modified xsi:type="dcterms:W3CDTF">2017-04-18T17:54:00Z</dcterms:modified>
</cp:coreProperties>
</file>